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0133A" w14:textId="3995A909" w:rsidR="00601627" w:rsidRDefault="00F0143E" w:rsidP="005903E1">
      <w:pPr>
        <w:pStyle w:val="Headline"/>
      </w:pPr>
      <w:r>
        <w:t>Hilton Prague Sale Completes,</w:t>
      </w:r>
      <w:r w:rsidR="0002350E">
        <w:t xml:space="preserve"> </w:t>
      </w:r>
      <w:r w:rsidR="009A18E3">
        <w:t>Ma</w:t>
      </w:r>
      <w:r w:rsidR="00C15915">
        <w:t>rking the</w:t>
      </w:r>
      <w:r w:rsidR="009A18E3">
        <w:t xml:space="preserve"> L</w:t>
      </w:r>
      <w:r w:rsidR="009A18E3" w:rsidRPr="009A18E3">
        <w:t xml:space="preserve">argest </w:t>
      </w:r>
      <w:r w:rsidR="009A18E3">
        <w:t>S</w:t>
      </w:r>
      <w:r w:rsidR="009A18E3" w:rsidRPr="009A18E3">
        <w:t xml:space="preserve">ingle </w:t>
      </w:r>
      <w:r w:rsidR="009A18E3">
        <w:t>H</w:t>
      </w:r>
      <w:r w:rsidR="009A18E3" w:rsidRPr="009A18E3">
        <w:t xml:space="preserve">otel </w:t>
      </w:r>
      <w:r w:rsidR="009A18E3">
        <w:t>T</w:t>
      </w:r>
      <w:r w:rsidR="009A18E3" w:rsidRPr="009A18E3">
        <w:t>ransaction</w:t>
      </w:r>
      <w:r>
        <w:t xml:space="preserve"> on</w:t>
      </w:r>
      <w:r w:rsidR="0076121E">
        <w:t> </w:t>
      </w:r>
      <w:r>
        <w:t>Record</w:t>
      </w:r>
      <w:r w:rsidR="009A18E3" w:rsidRPr="009A18E3">
        <w:t xml:space="preserve"> in CEE</w:t>
      </w:r>
    </w:p>
    <w:p w14:paraId="41780AB7" w14:textId="77777777" w:rsidR="00904FEF" w:rsidRPr="007E236C" w:rsidRDefault="00904FEF" w:rsidP="00E02087">
      <w:pPr>
        <w:pStyle w:val="BodyCopy"/>
      </w:pPr>
    </w:p>
    <w:p w14:paraId="5A554B69" w14:textId="556C42DF" w:rsidR="003D2BF9" w:rsidRPr="00EE0991" w:rsidRDefault="001A280B" w:rsidP="000C7040">
      <w:pPr>
        <w:pStyle w:val="BodyCopy"/>
        <w:rPr>
          <w:sz w:val="22"/>
          <w:szCs w:val="22"/>
        </w:rPr>
      </w:pPr>
      <w:r w:rsidRPr="6E07F254">
        <w:rPr>
          <w:b/>
          <w:bCs/>
          <w:sz w:val="22"/>
          <w:szCs w:val="22"/>
        </w:rPr>
        <w:t>London</w:t>
      </w:r>
      <w:r w:rsidR="00E30CD4" w:rsidRPr="6E07F254">
        <w:rPr>
          <w:b/>
          <w:bCs/>
          <w:sz w:val="22"/>
          <w:szCs w:val="22"/>
        </w:rPr>
        <w:t xml:space="preserve"> </w:t>
      </w:r>
      <w:r w:rsidR="00C63036" w:rsidRPr="6E07F254">
        <w:rPr>
          <w:b/>
          <w:bCs/>
          <w:sz w:val="22"/>
          <w:szCs w:val="22"/>
        </w:rPr>
        <w:t>–</w:t>
      </w:r>
      <w:r w:rsidR="001458C7" w:rsidRPr="6E07F254">
        <w:rPr>
          <w:b/>
          <w:bCs/>
          <w:sz w:val="22"/>
          <w:szCs w:val="22"/>
        </w:rPr>
        <w:t xml:space="preserve"> </w:t>
      </w:r>
      <w:r w:rsidR="0B072D0F" w:rsidRPr="6E07F254">
        <w:rPr>
          <w:b/>
          <w:bCs/>
          <w:sz w:val="22"/>
          <w:szCs w:val="22"/>
        </w:rPr>
        <w:t>2</w:t>
      </w:r>
      <w:r w:rsidR="0076121E">
        <w:rPr>
          <w:b/>
          <w:bCs/>
          <w:sz w:val="22"/>
          <w:szCs w:val="22"/>
        </w:rPr>
        <w:t>4</w:t>
      </w:r>
      <w:r w:rsidR="0B072D0F" w:rsidRPr="6E07F254">
        <w:rPr>
          <w:b/>
          <w:bCs/>
          <w:sz w:val="22"/>
          <w:szCs w:val="22"/>
        </w:rPr>
        <w:t xml:space="preserve"> February 2025</w:t>
      </w:r>
      <w:r w:rsidR="00E30CD4" w:rsidRPr="6E07F254">
        <w:rPr>
          <w:b/>
          <w:bCs/>
          <w:sz w:val="22"/>
          <w:szCs w:val="22"/>
        </w:rPr>
        <w:t xml:space="preserve"> </w:t>
      </w:r>
      <w:r w:rsidR="00C63036" w:rsidRPr="6E07F254">
        <w:rPr>
          <w:sz w:val="22"/>
          <w:szCs w:val="22"/>
        </w:rPr>
        <w:t>–</w:t>
      </w:r>
      <w:r w:rsidR="001458C7" w:rsidRPr="6E07F254">
        <w:rPr>
          <w:sz w:val="22"/>
          <w:szCs w:val="22"/>
        </w:rPr>
        <w:t xml:space="preserve"> </w:t>
      </w:r>
      <w:r w:rsidR="006160A8" w:rsidRPr="6E07F254">
        <w:rPr>
          <w:sz w:val="22"/>
          <w:szCs w:val="22"/>
        </w:rPr>
        <w:t>Global real estate advisor, CBRE,</w:t>
      </w:r>
      <w:r w:rsidR="005E0702" w:rsidRPr="6E07F254">
        <w:rPr>
          <w:sz w:val="22"/>
          <w:szCs w:val="22"/>
        </w:rPr>
        <w:t xml:space="preserve"> has </w:t>
      </w:r>
      <w:r w:rsidR="004D2AC7">
        <w:rPr>
          <w:sz w:val="22"/>
          <w:szCs w:val="22"/>
        </w:rPr>
        <w:t>advised on the sale of</w:t>
      </w:r>
      <w:r w:rsidR="00031C0A" w:rsidRPr="6E07F254">
        <w:rPr>
          <w:sz w:val="22"/>
          <w:szCs w:val="22"/>
        </w:rPr>
        <w:t xml:space="preserve"> the </w:t>
      </w:r>
      <w:r w:rsidR="00FD4BF3" w:rsidRPr="6E07F254">
        <w:rPr>
          <w:sz w:val="22"/>
          <w:szCs w:val="22"/>
        </w:rPr>
        <w:t>Hilton Prague</w:t>
      </w:r>
      <w:r w:rsidR="00AB6D32" w:rsidRPr="6E07F254">
        <w:rPr>
          <w:sz w:val="22"/>
          <w:szCs w:val="22"/>
        </w:rPr>
        <w:t xml:space="preserve"> </w:t>
      </w:r>
      <w:r w:rsidR="001A2B9C">
        <w:rPr>
          <w:sz w:val="22"/>
          <w:szCs w:val="22"/>
        </w:rPr>
        <w:t>for</w:t>
      </w:r>
      <w:r w:rsidR="0076121E">
        <w:rPr>
          <w:sz w:val="22"/>
          <w:szCs w:val="22"/>
        </w:rPr>
        <w:t> </w:t>
      </w:r>
      <w:r w:rsidR="00AB6D32" w:rsidRPr="6E07F254">
        <w:rPr>
          <w:sz w:val="22"/>
          <w:szCs w:val="22"/>
        </w:rPr>
        <w:t>the Irish Bank Resolution Corporation</w:t>
      </w:r>
      <w:r w:rsidR="00FD4BF3" w:rsidRPr="6E07F254">
        <w:rPr>
          <w:sz w:val="22"/>
          <w:szCs w:val="22"/>
        </w:rPr>
        <w:t xml:space="preserve">, </w:t>
      </w:r>
      <w:r w:rsidR="00582679" w:rsidRPr="6E07F254">
        <w:rPr>
          <w:sz w:val="22"/>
          <w:szCs w:val="22"/>
        </w:rPr>
        <w:t>marking the largest single</w:t>
      </w:r>
      <w:r w:rsidR="001A2B9C">
        <w:rPr>
          <w:sz w:val="22"/>
          <w:szCs w:val="22"/>
        </w:rPr>
        <w:t>-asset</w:t>
      </w:r>
      <w:r w:rsidR="00582679" w:rsidRPr="6E07F254">
        <w:rPr>
          <w:sz w:val="22"/>
          <w:szCs w:val="22"/>
        </w:rPr>
        <w:t xml:space="preserve"> hotel transaction</w:t>
      </w:r>
      <w:r w:rsidR="001A2B9C">
        <w:rPr>
          <w:sz w:val="22"/>
          <w:szCs w:val="22"/>
        </w:rPr>
        <w:t xml:space="preserve"> ever</w:t>
      </w:r>
      <w:r w:rsidR="00582679" w:rsidRPr="6E07F254">
        <w:rPr>
          <w:sz w:val="22"/>
          <w:szCs w:val="22"/>
        </w:rPr>
        <w:t xml:space="preserve"> </w:t>
      </w:r>
      <w:r w:rsidR="00322110" w:rsidRPr="6E07F254">
        <w:rPr>
          <w:sz w:val="22"/>
          <w:szCs w:val="22"/>
        </w:rPr>
        <w:t xml:space="preserve">recorded </w:t>
      </w:r>
      <w:r w:rsidR="00582679" w:rsidRPr="6E07F254">
        <w:rPr>
          <w:sz w:val="22"/>
          <w:szCs w:val="22"/>
        </w:rPr>
        <w:t>in</w:t>
      </w:r>
      <w:r w:rsidR="0076121E">
        <w:rPr>
          <w:sz w:val="22"/>
          <w:szCs w:val="22"/>
        </w:rPr>
        <w:t> </w:t>
      </w:r>
      <w:r w:rsidR="00582679" w:rsidRPr="6E07F254">
        <w:rPr>
          <w:sz w:val="22"/>
          <w:szCs w:val="22"/>
        </w:rPr>
        <w:t>CEE. The asset</w:t>
      </w:r>
      <w:r w:rsidR="646BA1CD" w:rsidRPr="6E07F254">
        <w:rPr>
          <w:sz w:val="22"/>
          <w:szCs w:val="22"/>
        </w:rPr>
        <w:t xml:space="preserve">, </w:t>
      </w:r>
      <w:r w:rsidR="001A2B9C" w:rsidRPr="0018323D">
        <w:rPr>
          <w:sz w:val="22"/>
          <w:szCs w:val="22"/>
        </w:rPr>
        <w:t>purchased</w:t>
      </w:r>
      <w:r w:rsidR="646BA1CD" w:rsidRPr="0018323D">
        <w:rPr>
          <w:sz w:val="22"/>
          <w:szCs w:val="22"/>
        </w:rPr>
        <w:t xml:space="preserve"> by Czech </w:t>
      </w:r>
      <w:r w:rsidR="001A2B9C">
        <w:rPr>
          <w:sz w:val="22"/>
          <w:szCs w:val="22"/>
        </w:rPr>
        <w:t>group</w:t>
      </w:r>
      <w:r w:rsidR="646BA1CD" w:rsidRPr="0018323D">
        <w:rPr>
          <w:sz w:val="22"/>
          <w:szCs w:val="22"/>
        </w:rPr>
        <w:t xml:space="preserve"> PPF, is</w:t>
      </w:r>
      <w:r w:rsidR="00582679" w:rsidRPr="6E07F254">
        <w:rPr>
          <w:sz w:val="22"/>
          <w:szCs w:val="22"/>
        </w:rPr>
        <w:t xml:space="preserve"> th</w:t>
      </w:r>
      <w:r w:rsidR="00322110" w:rsidRPr="6E07F254">
        <w:rPr>
          <w:sz w:val="22"/>
          <w:szCs w:val="22"/>
        </w:rPr>
        <w:t>e</w:t>
      </w:r>
      <w:r w:rsidR="00FD4BF3" w:rsidRPr="6E07F254">
        <w:rPr>
          <w:sz w:val="22"/>
          <w:szCs w:val="22"/>
        </w:rPr>
        <w:t xml:space="preserve"> largest</w:t>
      </w:r>
      <w:r w:rsidR="00EE3A21" w:rsidRPr="6E07F254">
        <w:rPr>
          <w:sz w:val="22"/>
          <w:szCs w:val="22"/>
        </w:rPr>
        <w:t xml:space="preserve"> branded</w:t>
      </w:r>
      <w:r w:rsidR="00FD4BF3" w:rsidRPr="6E07F254">
        <w:rPr>
          <w:sz w:val="22"/>
          <w:szCs w:val="22"/>
        </w:rPr>
        <w:t xml:space="preserve"> hotel in </w:t>
      </w:r>
      <w:r w:rsidR="005B6DBF" w:rsidRPr="6E07F254">
        <w:rPr>
          <w:sz w:val="22"/>
          <w:szCs w:val="22"/>
        </w:rPr>
        <w:t>the Czech Republic</w:t>
      </w:r>
      <w:r w:rsidR="004576AF" w:rsidRPr="6E07F254">
        <w:rPr>
          <w:sz w:val="22"/>
          <w:szCs w:val="22"/>
        </w:rPr>
        <w:t xml:space="preserve"> and</w:t>
      </w:r>
      <w:r w:rsidR="0076121E">
        <w:rPr>
          <w:sz w:val="22"/>
          <w:szCs w:val="22"/>
        </w:rPr>
        <w:t> </w:t>
      </w:r>
      <w:r w:rsidR="004576AF" w:rsidRPr="6E07F254">
        <w:rPr>
          <w:sz w:val="22"/>
          <w:szCs w:val="22"/>
        </w:rPr>
        <w:t>one</w:t>
      </w:r>
      <w:r w:rsidR="0076121E">
        <w:rPr>
          <w:sz w:val="22"/>
          <w:szCs w:val="22"/>
        </w:rPr>
        <w:t> </w:t>
      </w:r>
      <w:r w:rsidR="004576AF" w:rsidRPr="6E07F254">
        <w:rPr>
          <w:sz w:val="22"/>
          <w:szCs w:val="22"/>
        </w:rPr>
        <w:t>of</w:t>
      </w:r>
      <w:r w:rsidR="0076121E">
        <w:rPr>
          <w:sz w:val="22"/>
          <w:szCs w:val="22"/>
        </w:rPr>
        <w:t> </w:t>
      </w:r>
      <w:r w:rsidR="004576AF" w:rsidRPr="6E07F254">
        <w:rPr>
          <w:sz w:val="22"/>
          <w:szCs w:val="22"/>
        </w:rPr>
        <w:t>Europe’s leading conference and events hotels</w:t>
      </w:r>
      <w:r w:rsidR="00AB6D32" w:rsidRPr="6E07F254">
        <w:rPr>
          <w:sz w:val="22"/>
          <w:szCs w:val="22"/>
        </w:rPr>
        <w:t>.</w:t>
      </w:r>
    </w:p>
    <w:p w14:paraId="0E348BC6" w14:textId="77777777" w:rsidR="003D2BF9" w:rsidRPr="00EE0991" w:rsidRDefault="003D2BF9" w:rsidP="000C7040">
      <w:pPr>
        <w:pStyle w:val="BodyCopy"/>
        <w:rPr>
          <w:sz w:val="22"/>
          <w:szCs w:val="22"/>
        </w:rPr>
      </w:pPr>
    </w:p>
    <w:p w14:paraId="5BC9E8BA" w14:textId="349A5ECF" w:rsidR="00E77793" w:rsidRPr="00EE0991" w:rsidRDefault="49974884" w:rsidP="764EF00C">
      <w:pPr>
        <w:pStyle w:val="BodyCopy"/>
        <w:rPr>
          <w:sz w:val="22"/>
          <w:szCs w:val="22"/>
        </w:rPr>
      </w:pPr>
      <w:r w:rsidRPr="6E07F254">
        <w:rPr>
          <w:sz w:val="22"/>
          <w:szCs w:val="22"/>
        </w:rPr>
        <w:t>Hilton Prague</w:t>
      </w:r>
      <w:r w:rsidR="004576AF" w:rsidRPr="6E07F254">
        <w:rPr>
          <w:sz w:val="22"/>
          <w:szCs w:val="22"/>
        </w:rPr>
        <w:t xml:space="preserve"> </w:t>
      </w:r>
      <w:r w:rsidR="00EA427F" w:rsidRPr="6E07F254">
        <w:rPr>
          <w:sz w:val="22"/>
          <w:szCs w:val="22"/>
        </w:rPr>
        <w:t xml:space="preserve">comprises </w:t>
      </w:r>
      <w:r w:rsidR="000C5BA9" w:rsidRPr="6E07F254">
        <w:rPr>
          <w:sz w:val="22"/>
          <w:szCs w:val="22"/>
        </w:rPr>
        <w:t>791</w:t>
      </w:r>
      <w:r w:rsidR="009A12B2">
        <w:rPr>
          <w:sz w:val="22"/>
          <w:szCs w:val="22"/>
        </w:rPr>
        <w:t xml:space="preserve"> </w:t>
      </w:r>
      <w:r w:rsidR="00D57A29" w:rsidRPr="6E07F254">
        <w:rPr>
          <w:sz w:val="22"/>
          <w:szCs w:val="22"/>
        </w:rPr>
        <w:t xml:space="preserve">rooms, six food and beverage outlets, extensive leisure facilities and </w:t>
      </w:r>
      <w:r w:rsidR="004576AF" w:rsidRPr="6E07F254">
        <w:rPr>
          <w:sz w:val="22"/>
          <w:szCs w:val="22"/>
        </w:rPr>
        <w:t xml:space="preserve">approximately </w:t>
      </w:r>
      <w:r w:rsidR="00D57A29" w:rsidRPr="6E07F254">
        <w:rPr>
          <w:sz w:val="22"/>
          <w:szCs w:val="22"/>
        </w:rPr>
        <w:t xml:space="preserve">5,000 sqm of conference space. </w:t>
      </w:r>
      <w:r w:rsidR="00E77793" w:rsidRPr="6E07F254">
        <w:rPr>
          <w:sz w:val="22"/>
          <w:szCs w:val="22"/>
        </w:rPr>
        <w:t xml:space="preserve">Occupying a privileged riverside position where the city </w:t>
      </w:r>
      <w:proofErr w:type="spellStart"/>
      <w:r w:rsidR="00E77793" w:rsidRPr="6E07F254">
        <w:rPr>
          <w:sz w:val="22"/>
          <w:szCs w:val="22"/>
        </w:rPr>
        <w:t>centre</w:t>
      </w:r>
      <w:proofErr w:type="spellEnd"/>
      <w:r w:rsidR="00E77793" w:rsidRPr="6E07F254">
        <w:rPr>
          <w:sz w:val="22"/>
          <w:szCs w:val="22"/>
        </w:rPr>
        <w:t xml:space="preserve"> meets the </w:t>
      </w:r>
      <w:proofErr w:type="spellStart"/>
      <w:r w:rsidR="00E77793" w:rsidRPr="6E07F254">
        <w:rPr>
          <w:sz w:val="22"/>
          <w:szCs w:val="22"/>
        </w:rPr>
        <w:t>Karlín</w:t>
      </w:r>
      <w:proofErr w:type="spellEnd"/>
      <w:r w:rsidR="00E77793" w:rsidRPr="6E07F254">
        <w:rPr>
          <w:sz w:val="22"/>
          <w:szCs w:val="22"/>
        </w:rPr>
        <w:t xml:space="preserve"> office hub, the property is also close to the Czech headquarters of renowned global corporations and government agencies. </w:t>
      </w:r>
    </w:p>
    <w:p w14:paraId="5C689ACA" w14:textId="77777777" w:rsidR="00085778" w:rsidRDefault="00085778" w:rsidP="003D2B00">
      <w:pPr>
        <w:pStyle w:val="BodyCopy"/>
        <w:rPr>
          <w:sz w:val="22"/>
          <w:szCs w:val="22"/>
        </w:rPr>
      </w:pPr>
    </w:p>
    <w:p w14:paraId="423F64C8" w14:textId="175AB106" w:rsidR="00A04B2B" w:rsidRPr="00EE0991" w:rsidRDefault="000065CB" w:rsidP="764EF00C">
      <w:pPr>
        <w:pStyle w:val="BodyCopy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085778" w:rsidRPr="6E07F254">
        <w:rPr>
          <w:sz w:val="22"/>
          <w:szCs w:val="22"/>
        </w:rPr>
        <w:t>Hilton Prague</w:t>
      </w:r>
      <w:r w:rsidR="004576AF" w:rsidRPr="6E07F254">
        <w:rPr>
          <w:sz w:val="22"/>
          <w:szCs w:val="22"/>
        </w:rPr>
        <w:t xml:space="preserve"> has benefi</w:t>
      </w:r>
      <w:r w:rsidR="00085778" w:rsidRPr="6E07F254">
        <w:rPr>
          <w:sz w:val="22"/>
          <w:szCs w:val="22"/>
        </w:rPr>
        <w:t>t</w:t>
      </w:r>
      <w:r w:rsidR="004576AF" w:rsidRPr="6E07F254">
        <w:rPr>
          <w:sz w:val="22"/>
          <w:szCs w:val="22"/>
        </w:rPr>
        <w:t xml:space="preserve">ted from the strong resurgence of travel </w:t>
      </w:r>
      <w:r w:rsidR="00946CF8">
        <w:rPr>
          <w:sz w:val="22"/>
          <w:szCs w:val="22"/>
        </w:rPr>
        <w:t xml:space="preserve">and corporate demand </w:t>
      </w:r>
      <w:r w:rsidR="004576AF" w:rsidRPr="6E07F254">
        <w:rPr>
          <w:sz w:val="22"/>
          <w:szCs w:val="22"/>
        </w:rPr>
        <w:t>post-pandemic and</w:t>
      </w:r>
      <w:r w:rsidR="0076121E">
        <w:rPr>
          <w:sz w:val="22"/>
          <w:szCs w:val="22"/>
        </w:rPr>
        <w:t> </w:t>
      </w:r>
      <w:r w:rsidR="35B65646" w:rsidRPr="6E07F254">
        <w:rPr>
          <w:sz w:val="22"/>
          <w:szCs w:val="22"/>
        </w:rPr>
        <w:t>the previous owners</w:t>
      </w:r>
      <w:r w:rsidR="004576AF" w:rsidRPr="6E07F254">
        <w:rPr>
          <w:sz w:val="22"/>
          <w:szCs w:val="22"/>
        </w:rPr>
        <w:t xml:space="preserve"> invested heavily in its continued success, with over €50m invested in the asset since 2018. </w:t>
      </w:r>
    </w:p>
    <w:p w14:paraId="1AFC49A2" w14:textId="7C34FC02" w:rsidR="00870EFE" w:rsidRPr="00EE0991" w:rsidRDefault="00870EFE" w:rsidP="008B6AE1">
      <w:pPr>
        <w:pStyle w:val="BodyCopy"/>
        <w:rPr>
          <w:sz w:val="22"/>
          <w:szCs w:val="22"/>
        </w:rPr>
      </w:pPr>
    </w:p>
    <w:p w14:paraId="6AB06402" w14:textId="3C3BD813" w:rsidR="004D3ED2" w:rsidRDefault="00461BC8" w:rsidP="0018323D">
      <w:pPr>
        <w:rPr>
          <w:color w:val="425254" w:themeColor="text1"/>
          <w:sz w:val="22"/>
          <w:szCs w:val="22"/>
        </w:rPr>
      </w:pPr>
      <w:r w:rsidRPr="0076121E">
        <w:rPr>
          <w:i/>
          <w:iCs/>
          <w:color w:val="425254" w:themeColor="text1"/>
          <w:sz w:val="22"/>
          <w:szCs w:val="22"/>
        </w:rPr>
        <w:t>“</w:t>
      </w:r>
      <w:r w:rsidR="667D6139" w:rsidRPr="0076121E">
        <w:rPr>
          <w:i/>
          <w:iCs/>
          <w:color w:val="425254" w:themeColor="text1"/>
          <w:sz w:val="22"/>
          <w:szCs w:val="22"/>
        </w:rPr>
        <w:t xml:space="preserve">There are few assets in Europe as well-equipped as the Hilton Prague to meet the needs of today’s </w:t>
      </w:r>
      <w:r w:rsidR="003B046D" w:rsidRPr="0076121E">
        <w:rPr>
          <w:i/>
          <w:iCs/>
          <w:color w:val="425254" w:themeColor="text1"/>
          <w:sz w:val="22"/>
          <w:szCs w:val="22"/>
        </w:rPr>
        <w:t xml:space="preserve">global </w:t>
      </w:r>
      <w:r w:rsidR="667D6139" w:rsidRPr="0076121E">
        <w:rPr>
          <w:i/>
          <w:iCs/>
          <w:color w:val="425254" w:themeColor="text1"/>
          <w:sz w:val="22"/>
          <w:szCs w:val="22"/>
        </w:rPr>
        <w:t>events market and</w:t>
      </w:r>
      <w:r w:rsidR="00946CF8" w:rsidRPr="0076121E">
        <w:rPr>
          <w:i/>
          <w:iCs/>
          <w:color w:val="425254" w:themeColor="text1"/>
          <w:sz w:val="22"/>
          <w:szCs w:val="22"/>
        </w:rPr>
        <w:t xml:space="preserve">, </w:t>
      </w:r>
      <w:r w:rsidR="667D6139" w:rsidRPr="0076121E">
        <w:rPr>
          <w:i/>
          <w:iCs/>
          <w:color w:val="425254" w:themeColor="text1"/>
          <w:sz w:val="22"/>
          <w:szCs w:val="22"/>
        </w:rPr>
        <w:t>as we anticipated in July last year, investor appetite was significant throughout the bidding process</w:t>
      </w:r>
      <w:r w:rsidR="0018323D" w:rsidRPr="0076121E">
        <w:rPr>
          <w:i/>
          <w:iCs/>
          <w:color w:val="425254" w:themeColor="text1"/>
          <w:sz w:val="22"/>
          <w:szCs w:val="22"/>
        </w:rPr>
        <w:t>,”</w:t>
      </w:r>
      <w:r w:rsidR="0018323D">
        <w:rPr>
          <w:color w:val="425254" w:themeColor="text1"/>
          <w:sz w:val="22"/>
          <w:szCs w:val="22"/>
        </w:rPr>
        <w:t xml:space="preserve"> said </w:t>
      </w:r>
      <w:r w:rsidR="0018323D" w:rsidRPr="0076121E">
        <w:rPr>
          <w:b/>
          <w:bCs/>
          <w:color w:val="425254" w:themeColor="text1"/>
          <w:sz w:val="22"/>
          <w:szCs w:val="22"/>
        </w:rPr>
        <w:t>Kenneth Hatton, CBRE’s Head of Hotels for Europe</w:t>
      </w:r>
      <w:r w:rsidR="0018323D">
        <w:rPr>
          <w:color w:val="425254" w:themeColor="text1"/>
          <w:sz w:val="22"/>
          <w:szCs w:val="22"/>
        </w:rPr>
        <w:t xml:space="preserve">. </w:t>
      </w:r>
      <w:r w:rsidR="0018323D" w:rsidRPr="0076121E">
        <w:rPr>
          <w:i/>
          <w:iCs/>
          <w:color w:val="425254" w:themeColor="text1"/>
          <w:sz w:val="22"/>
          <w:szCs w:val="22"/>
        </w:rPr>
        <w:t>“</w:t>
      </w:r>
      <w:r w:rsidR="75051F60" w:rsidRPr="0076121E">
        <w:rPr>
          <w:i/>
          <w:iCs/>
          <w:color w:val="425254" w:themeColor="text1"/>
          <w:sz w:val="22"/>
          <w:szCs w:val="22"/>
        </w:rPr>
        <w:t>This transaction, the largest single hotel asset sale ever recorded in the CEE region, showcases th</w:t>
      </w:r>
      <w:r w:rsidR="00AE4112" w:rsidRPr="0076121E">
        <w:rPr>
          <w:i/>
          <w:iCs/>
          <w:color w:val="425254" w:themeColor="text1"/>
          <w:sz w:val="22"/>
          <w:szCs w:val="22"/>
        </w:rPr>
        <w:t>e</w:t>
      </w:r>
      <w:r w:rsidR="004527F6" w:rsidRPr="0076121E">
        <w:rPr>
          <w:i/>
          <w:iCs/>
          <w:color w:val="425254" w:themeColor="text1"/>
          <w:sz w:val="22"/>
          <w:szCs w:val="22"/>
        </w:rPr>
        <w:t xml:space="preserve"> </w:t>
      </w:r>
      <w:r w:rsidR="0054460C" w:rsidRPr="0076121E">
        <w:rPr>
          <w:i/>
          <w:iCs/>
          <w:color w:val="425254" w:themeColor="text1"/>
          <w:sz w:val="22"/>
          <w:szCs w:val="22"/>
        </w:rPr>
        <w:t>attraction</w:t>
      </w:r>
      <w:r w:rsidR="004527F6" w:rsidRPr="0076121E">
        <w:rPr>
          <w:i/>
          <w:iCs/>
          <w:color w:val="425254" w:themeColor="text1"/>
          <w:sz w:val="22"/>
          <w:szCs w:val="22"/>
        </w:rPr>
        <w:t xml:space="preserve"> </w:t>
      </w:r>
      <w:r w:rsidR="0054460C" w:rsidRPr="0076121E">
        <w:rPr>
          <w:i/>
          <w:iCs/>
          <w:color w:val="425254" w:themeColor="text1"/>
          <w:sz w:val="22"/>
          <w:szCs w:val="22"/>
        </w:rPr>
        <w:t>of</w:t>
      </w:r>
      <w:r w:rsidR="004527F6" w:rsidRPr="0076121E">
        <w:rPr>
          <w:i/>
          <w:iCs/>
          <w:color w:val="425254" w:themeColor="text1"/>
          <w:sz w:val="22"/>
          <w:szCs w:val="22"/>
        </w:rPr>
        <w:t xml:space="preserve"> </w:t>
      </w:r>
      <w:r w:rsidR="00F222C1" w:rsidRPr="0076121E">
        <w:rPr>
          <w:i/>
          <w:iCs/>
          <w:color w:val="425254" w:themeColor="text1"/>
          <w:sz w:val="22"/>
          <w:szCs w:val="22"/>
        </w:rPr>
        <w:t>major European</w:t>
      </w:r>
      <w:r w:rsidR="004527F6" w:rsidRPr="0076121E">
        <w:rPr>
          <w:i/>
          <w:iCs/>
          <w:color w:val="425254" w:themeColor="text1"/>
          <w:sz w:val="22"/>
          <w:szCs w:val="22"/>
        </w:rPr>
        <w:t xml:space="preserve"> cities that have a blend of both business and leisure demand</w:t>
      </w:r>
      <w:r w:rsidR="004D3ED2" w:rsidRPr="0076121E">
        <w:rPr>
          <w:i/>
          <w:iCs/>
          <w:color w:val="425254" w:themeColor="text1"/>
          <w:sz w:val="22"/>
          <w:szCs w:val="22"/>
        </w:rPr>
        <w:t xml:space="preserve">, </w:t>
      </w:r>
      <w:r w:rsidR="00F27A6E" w:rsidRPr="0076121E">
        <w:rPr>
          <w:i/>
          <w:iCs/>
          <w:color w:val="425254" w:themeColor="text1"/>
          <w:sz w:val="22"/>
          <w:szCs w:val="22"/>
        </w:rPr>
        <w:t>as well as the resurgence in corporate</w:t>
      </w:r>
      <w:r w:rsidR="00A1544D" w:rsidRPr="0076121E">
        <w:rPr>
          <w:i/>
          <w:iCs/>
          <w:color w:val="425254" w:themeColor="text1"/>
          <w:sz w:val="22"/>
          <w:szCs w:val="22"/>
        </w:rPr>
        <w:t xml:space="preserve"> and therefore investor</w:t>
      </w:r>
      <w:r w:rsidR="00F27A6E" w:rsidRPr="0076121E">
        <w:rPr>
          <w:i/>
          <w:iCs/>
          <w:color w:val="425254" w:themeColor="text1"/>
          <w:sz w:val="22"/>
          <w:szCs w:val="22"/>
        </w:rPr>
        <w:t xml:space="preserve"> demand</w:t>
      </w:r>
      <w:r w:rsidR="00E470D1" w:rsidRPr="0076121E">
        <w:rPr>
          <w:i/>
          <w:iCs/>
          <w:color w:val="425254" w:themeColor="text1"/>
          <w:sz w:val="22"/>
          <w:szCs w:val="22"/>
        </w:rPr>
        <w:t xml:space="preserve"> for quality, </w:t>
      </w:r>
      <w:r w:rsidR="008F2B73" w:rsidRPr="0076121E">
        <w:rPr>
          <w:i/>
          <w:iCs/>
          <w:color w:val="425254" w:themeColor="text1"/>
          <w:sz w:val="22"/>
          <w:szCs w:val="22"/>
        </w:rPr>
        <w:t xml:space="preserve">well-positioned meetings and </w:t>
      </w:r>
      <w:r w:rsidR="0083142D" w:rsidRPr="0076121E">
        <w:rPr>
          <w:i/>
          <w:iCs/>
          <w:color w:val="425254" w:themeColor="text1"/>
          <w:sz w:val="22"/>
          <w:szCs w:val="22"/>
        </w:rPr>
        <w:t>events hotels</w:t>
      </w:r>
      <w:r w:rsidR="0076121E" w:rsidRPr="0076121E">
        <w:rPr>
          <w:i/>
          <w:iCs/>
          <w:color w:val="425254" w:themeColor="text1"/>
          <w:sz w:val="22"/>
          <w:szCs w:val="22"/>
        </w:rPr>
        <w:t>,</w:t>
      </w:r>
      <w:r w:rsidR="00EE3BB0" w:rsidRPr="0076121E">
        <w:rPr>
          <w:i/>
          <w:iCs/>
          <w:color w:val="425254" w:themeColor="text1"/>
          <w:sz w:val="22"/>
          <w:szCs w:val="22"/>
        </w:rPr>
        <w:t>”</w:t>
      </w:r>
      <w:r w:rsidR="0076121E">
        <w:rPr>
          <w:color w:val="425254" w:themeColor="text1"/>
          <w:sz w:val="22"/>
          <w:szCs w:val="22"/>
        </w:rPr>
        <w:t xml:space="preserve"> added </w:t>
      </w:r>
      <w:r w:rsidR="0076121E" w:rsidRPr="0076121E">
        <w:rPr>
          <w:b/>
          <w:bCs/>
          <w:color w:val="425254" w:themeColor="text1"/>
          <w:sz w:val="22"/>
          <w:szCs w:val="22"/>
        </w:rPr>
        <w:t xml:space="preserve">Jakub Stanislav, </w:t>
      </w:r>
      <w:r w:rsidR="0076121E" w:rsidRPr="0076121E">
        <w:rPr>
          <w:b/>
          <w:bCs/>
          <w:color w:val="425254" w:themeColor="text1"/>
          <w:sz w:val="22"/>
          <w:szCs w:val="22"/>
        </w:rPr>
        <w:t>Head of Investment Propertie</w:t>
      </w:r>
      <w:r w:rsidR="0076121E" w:rsidRPr="0076121E">
        <w:rPr>
          <w:b/>
          <w:bCs/>
          <w:color w:val="425254" w:themeColor="text1"/>
          <w:sz w:val="22"/>
          <w:szCs w:val="22"/>
        </w:rPr>
        <w:t>s at CBRE Czech Republic</w:t>
      </w:r>
      <w:r w:rsidR="0076121E">
        <w:rPr>
          <w:color w:val="425254" w:themeColor="text1"/>
          <w:sz w:val="22"/>
          <w:szCs w:val="22"/>
        </w:rPr>
        <w:t>.</w:t>
      </w:r>
    </w:p>
    <w:p w14:paraId="1EC945A1" w14:textId="6044A33B" w:rsidR="00162C07" w:rsidRPr="00EE0991" w:rsidRDefault="00162C07" w:rsidP="0083142D">
      <w:pPr>
        <w:rPr>
          <w:sz w:val="22"/>
          <w:szCs w:val="22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76121E" w:rsidRPr="0076121E" w14:paraId="4BCD6314" w14:textId="77777777" w:rsidTr="0076121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BF858" w14:textId="241F14FC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</w:rPr>
              <w:br/>
            </w:r>
            <w:r w:rsidRPr="0076121E">
              <w:rPr>
                <w:b/>
                <w:bCs/>
                <w:sz w:val="21"/>
                <w:szCs w:val="21"/>
                <w:lang w:val="en-GB"/>
              </w:rPr>
              <w:t>For more information please contact:</w:t>
            </w:r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32B9F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</w:tr>
      <w:tr w:rsidR="0076121E" w:rsidRPr="0076121E" w14:paraId="6D64076F" w14:textId="77777777" w:rsidTr="0076121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EDAD2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b/>
                <w:bCs/>
                <w:sz w:val="21"/>
                <w:szCs w:val="21"/>
                <w:lang w:val="en-GB"/>
              </w:rPr>
              <w:t xml:space="preserve">Crest Communications, </w:t>
            </w:r>
            <w:proofErr w:type="spellStart"/>
            <w:r w:rsidRPr="0076121E">
              <w:rPr>
                <w:b/>
                <w:bCs/>
                <w:sz w:val="21"/>
                <w:szCs w:val="21"/>
                <w:lang w:val="en-GB"/>
              </w:rPr>
              <w:t>a.s.</w:t>
            </w:r>
            <w:proofErr w:type="spellEnd"/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7AFC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</w:tr>
      <w:tr w:rsidR="0076121E" w:rsidRPr="0076121E" w14:paraId="2172B17F" w14:textId="77777777" w:rsidTr="0076121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E3120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Denisa Kolaříková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F5F95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Kamila Čadková  </w:t>
            </w:r>
          </w:p>
        </w:tc>
      </w:tr>
      <w:tr w:rsidR="0076121E" w:rsidRPr="0076121E" w14:paraId="2B2AA1DD" w14:textId="77777777" w:rsidTr="0076121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100ADC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Account Manager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D7CD4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Account Director  </w:t>
            </w:r>
          </w:p>
        </w:tc>
      </w:tr>
      <w:tr w:rsidR="0076121E" w:rsidRPr="0076121E" w14:paraId="0E39118D" w14:textId="77777777" w:rsidTr="0076121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074C1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GSM: +420 731 613 606    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BBEF1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GSM: +420 731 613 609  </w:t>
            </w:r>
          </w:p>
        </w:tc>
      </w:tr>
      <w:tr w:rsidR="0076121E" w:rsidRPr="0076121E" w14:paraId="23DC9519" w14:textId="77777777" w:rsidTr="0076121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2F436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hyperlink r:id="rId6" w:tgtFrame="_blank" w:history="1">
              <w:r w:rsidRPr="0076121E">
                <w:rPr>
                  <w:rStyle w:val="Hypertextovodkaz"/>
                  <w:sz w:val="21"/>
                  <w:szCs w:val="21"/>
                  <w:lang w:val="en-GB"/>
                </w:rPr>
                <w:t>denisa.kolarikova@crestcom.cz</w:t>
              </w:r>
            </w:hyperlink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F98FA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hyperlink r:id="rId7" w:tgtFrame="_blank" w:history="1">
              <w:r w:rsidRPr="0076121E">
                <w:rPr>
                  <w:rStyle w:val="Hypertextovodkaz"/>
                  <w:sz w:val="21"/>
                  <w:szCs w:val="21"/>
                  <w:lang w:val="en-GB"/>
                </w:rPr>
                <w:t>kamila.cadkova@crestcom.cz</w:t>
              </w:r>
            </w:hyperlink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</w:tr>
      <w:tr w:rsidR="0076121E" w:rsidRPr="0076121E" w14:paraId="754D5A73" w14:textId="77777777" w:rsidTr="0076121E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0B7AC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hyperlink r:id="rId8" w:tgtFrame="_blank" w:history="1">
              <w:r w:rsidRPr="0076121E">
                <w:rPr>
                  <w:rStyle w:val="Hypertextovodkaz"/>
                  <w:sz w:val="21"/>
                  <w:szCs w:val="21"/>
                  <w:lang w:val="en-GB"/>
                </w:rPr>
                <w:t>www.crestcom.cz</w:t>
              </w:r>
            </w:hyperlink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3284A" w14:textId="77777777" w:rsidR="0076121E" w:rsidRPr="0076121E" w:rsidRDefault="0076121E" w:rsidP="0076121E">
            <w:pPr>
              <w:pStyle w:val="BodyCopy"/>
              <w:rPr>
                <w:sz w:val="21"/>
                <w:szCs w:val="21"/>
                <w:lang w:val="en-GB"/>
              </w:rPr>
            </w:pPr>
            <w:r w:rsidRPr="0076121E">
              <w:rPr>
                <w:sz w:val="21"/>
                <w:szCs w:val="21"/>
                <w:lang w:val="en-GB"/>
              </w:rPr>
              <w:t>  </w:t>
            </w:r>
          </w:p>
        </w:tc>
      </w:tr>
    </w:tbl>
    <w:p w14:paraId="3393D721" w14:textId="77777777" w:rsidR="0076121E" w:rsidRPr="0076121E" w:rsidRDefault="0076121E" w:rsidP="0076121E">
      <w:pPr>
        <w:pStyle w:val="BodyCopy"/>
        <w:rPr>
          <w:sz w:val="21"/>
          <w:szCs w:val="21"/>
          <w:lang w:val="en-GB"/>
        </w:rPr>
      </w:pPr>
      <w:r w:rsidRPr="0076121E">
        <w:rPr>
          <w:sz w:val="21"/>
          <w:szCs w:val="21"/>
          <w:lang w:val="en-GB"/>
        </w:rPr>
        <w:t>  </w:t>
      </w:r>
    </w:p>
    <w:p w14:paraId="49B0CF73" w14:textId="77777777" w:rsidR="0076121E" w:rsidRPr="0076121E" w:rsidRDefault="0076121E" w:rsidP="0076121E">
      <w:pPr>
        <w:pStyle w:val="BodyCopy"/>
        <w:rPr>
          <w:sz w:val="21"/>
          <w:szCs w:val="21"/>
          <w:lang w:val="en-GB"/>
        </w:rPr>
      </w:pPr>
      <w:r w:rsidRPr="0076121E">
        <w:rPr>
          <w:b/>
          <w:bCs/>
          <w:sz w:val="21"/>
          <w:szCs w:val="21"/>
          <w:lang w:val="en-GB"/>
        </w:rPr>
        <w:t>CBRE </w:t>
      </w:r>
      <w:r w:rsidRPr="0076121E">
        <w:rPr>
          <w:sz w:val="21"/>
          <w:szCs w:val="21"/>
          <w:lang w:val="en-GB"/>
        </w:rPr>
        <w:t>   </w:t>
      </w:r>
    </w:p>
    <w:p w14:paraId="1F134D0A" w14:textId="77777777" w:rsidR="0076121E" w:rsidRPr="0076121E" w:rsidRDefault="0076121E" w:rsidP="0076121E">
      <w:pPr>
        <w:pStyle w:val="BodyCopy"/>
        <w:rPr>
          <w:sz w:val="21"/>
          <w:szCs w:val="21"/>
          <w:lang w:val="en-GB"/>
        </w:rPr>
      </w:pPr>
      <w:r w:rsidRPr="0076121E">
        <w:rPr>
          <w:sz w:val="21"/>
          <w:szCs w:val="21"/>
          <w:lang w:val="en-GB"/>
        </w:rPr>
        <w:t xml:space="preserve">Ivana Procházková, Communication Specialist, +420 771 288 023, </w:t>
      </w:r>
      <w:hyperlink r:id="rId9" w:tgtFrame="_blank" w:history="1">
        <w:r w:rsidRPr="0076121E">
          <w:rPr>
            <w:rStyle w:val="Hypertextovodkaz"/>
            <w:sz w:val="21"/>
            <w:szCs w:val="21"/>
            <w:lang w:val="en-GB"/>
          </w:rPr>
          <w:t>ivana.prochazkova@cbre.com</w:t>
        </w:r>
      </w:hyperlink>
      <w:r w:rsidRPr="0076121E">
        <w:rPr>
          <w:sz w:val="21"/>
          <w:szCs w:val="21"/>
          <w:lang w:val="en-GB"/>
        </w:rPr>
        <w:t>     </w:t>
      </w:r>
    </w:p>
    <w:p w14:paraId="427F3F71" w14:textId="77777777" w:rsidR="0076121E" w:rsidRPr="0076121E" w:rsidRDefault="0076121E" w:rsidP="0076121E">
      <w:pPr>
        <w:pStyle w:val="BodyCopy"/>
        <w:rPr>
          <w:sz w:val="21"/>
          <w:szCs w:val="21"/>
          <w:lang w:val="en-GB"/>
        </w:rPr>
      </w:pPr>
      <w:r w:rsidRPr="0076121E">
        <w:rPr>
          <w:sz w:val="21"/>
          <w:szCs w:val="21"/>
          <w:lang w:val="en-GB"/>
        </w:rPr>
        <w:t xml:space="preserve">CBRE </w:t>
      </w:r>
      <w:proofErr w:type="spellStart"/>
      <w:r w:rsidRPr="0076121E">
        <w:rPr>
          <w:sz w:val="21"/>
          <w:szCs w:val="21"/>
          <w:lang w:val="en-GB"/>
        </w:rPr>
        <w:t>Česká</w:t>
      </w:r>
      <w:proofErr w:type="spellEnd"/>
      <w:r w:rsidRPr="0076121E">
        <w:rPr>
          <w:sz w:val="21"/>
          <w:szCs w:val="21"/>
          <w:lang w:val="en-GB"/>
        </w:rPr>
        <w:t xml:space="preserve"> </w:t>
      </w:r>
      <w:proofErr w:type="spellStart"/>
      <w:r w:rsidRPr="0076121E">
        <w:rPr>
          <w:sz w:val="21"/>
          <w:szCs w:val="21"/>
          <w:lang w:val="en-GB"/>
        </w:rPr>
        <w:t>republika</w:t>
      </w:r>
      <w:proofErr w:type="spellEnd"/>
      <w:r w:rsidRPr="0076121E">
        <w:rPr>
          <w:sz w:val="21"/>
          <w:szCs w:val="21"/>
          <w:lang w:val="en-GB"/>
        </w:rPr>
        <w:t> </w:t>
      </w:r>
      <w:hyperlink r:id="rId10" w:tgtFrame="_blank" w:history="1">
        <w:r w:rsidRPr="0076121E">
          <w:rPr>
            <w:rStyle w:val="Hypertextovodkaz"/>
            <w:sz w:val="21"/>
            <w:szCs w:val="21"/>
            <w:lang w:val="en-GB"/>
          </w:rPr>
          <w:t>Facebook</w:t>
        </w:r>
      </w:hyperlink>
      <w:r w:rsidRPr="0076121E">
        <w:rPr>
          <w:sz w:val="21"/>
          <w:szCs w:val="21"/>
          <w:lang w:val="en-GB"/>
        </w:rPr>
        <w:t xml:space="preserve">, </w:t>
      </w:r>
      <w:hyperlink r:id="rId11" w:tgtFrame="_blank" w:history="1">
        <w:r w:rsidRPr="0076121E">
          <w:rPr>
            <w:rStyle w:val="Hypertextovodkaz"/>
            <w:sz w:val="21"/>
            <w:szCs w:val="21"/>
            <w:lang w:val="en-GB"/>
          </w:rPr>
          <w:t>LinkedIn</w:t>
        </w:r>
      </w:hyperlink>
      <w:r w:rsidRPr="0076121E">
        <w:rPr>
          <w:sz w:val="21"/>
          <w:szCs w:val="21"/>
          <w:u w:val="single"/>
          <w:lang w:val="en-GB"/>
        </w:rPr>
        <w:t>,</w:t>
      </w:r>
      <w:r w:rsidRPr="0076121E">
        <w:rPr>
          <w:sz w:val="21"/>
          <w:szCs w:val="21"/>
          <w:lang w:val="en-GB"/>
        </w:rPr>
        <w:t xml:space="preserve"> </w:t>
      </w:r>
      <w:hyperlink r:id="rId12" w:tgtFrame="_blank" w:history="1">
        <w:r w:rsidRPr="0076121E">
          <w:rPr>
            <w:rStyle w:val="Hypertextovodkaz"/>
            <w:sz w:val="21"/>
            <w:szCs w:val="21"/>
            <w:lang w:val="en-GB"/>
          </w:rPr>
          <w:t>Instagram</w:t>
        </w:r>
      </w:hyperlink>
      <w:r w:rsidRPr="0076121E">
        <w:rPr>
          <w:b/>
          <w:bCs/>
          <w:sz w:val="21"/>
          <w:szCs w:val="21"/>
          <w:lang w:val="en-GB"/>
        </w:rPr>
        <w:t> </w:t>
      </w:r>
      <w:r w:rsidRPr="0076121E">
        <w:rPr>
          <w:sz w:val="21"/>
          <w:szCs w:val="21"/>
          <w:lang w:val="en-GB"/>
        </w:rPr>
        <w:t>   </w:t>
      </w:r>
    </w:p>
    <w:p w14:paraId="26B19E7B" w14:textId="77777777" w:rsidR="0076121E" w:rsidRPr="0076121E" w:rsidRDefault="0076121E" w:rsidP="0076121E">
      <w:pPr>
        <w:pStyle w:val="BodyCopy"/>
        <w:rPr>
          <w:lang w:val="en-GB"/>
        </w:rPr>
      </w:pPr>
      <w:r w:rsidRPr="0076121E">
        <w:rPr>
          <w:lang w:val="en-GB"/>
        </w:rPr>
        <w:t>   </w:t>
      </w:r>
    </w:p>
    <w:p w14:paraId="7077FA05" w14:textId="77777777" w:rsidR="0076121E" w:rsidRPr="007276DA" w:rsidRDefault="0076121E" w:rsidP="0076121E">
      <w:pPr>
        <w:pStyle w:val="Boilerplate"/>
        <w:jc w:val="both"/>
        <w:rPr>
          <w:bCs/>
          <w:color w:val="808080" w:themeColor="background1" w:themeShade="80"/>
          <w:u w:val="single"/>
        </w:rPr>
      </w:pPr>
      <w:r w:rsidRPr="007276DA">
        <w:rPr>
          <w:bCs/>
          <w:color w:val="808080" w:themeColor="background1" w:themeShade="80"/>
          <w:u w:val="single"/>
        </w:rPr>
        <w:t>About CBRE Group, Inc.</w:t>
      </w:r>
    </w:p>
    <w:p w14:paraId="45BF8342" w14:textId="77777777" w:rsidR="0076121E" w:rsidRDefault="0076121E" w:rsidP="0076121E">
      <w:pPr>
        <w:pStyle w:val="Boilerplate"/>
        <w:jc w:val="both"/>
        <w:rPr>
          <w:color w:val="808080" w:themeColor="background1" w:themeShade="80"/>
        </w:rPr>
      </w:pPr>
      <w:r w:rsidRPr="007276DA">
        <w:rPr>
          <w:color w:val="808080" w:themeColor="background1" w:themeShade="80"/>
        </w:rPr>
        <w:t>CBRE Group, Inc. (</w:t>
      </w:r>
      <w:proofErr w:type="gramStart"/>
      <w:r w:rsidRPr="007276DA">
        <w:rPr>
          <w:color w:val="808080" w:themeColor="background1" w:themeShade="80"/>
        </w:rPr>
        <w:t>NYSE:CBRE</w:t>
      </w:r>
      <w:proofErr w:type="gramEnd"/>
      <w:r w:rsidRPr="007276DA">
        <w:rPr>
          <w:color w:val="808080" w:themeColor="background1" w:themeShade="80"/>
        </w:rPr>
        <w:t xml:space="preserve">), a Fortune 500 and S&amp;P 500 company headquartered in Dallas, is the world’s largest commercial real estate services and investment firm (based on 2024 revenue). The company has more than 140,000 employees (including Turner &amp; Townsend employees) serving clients in more than 100 countries. CBRE serves a diverse range of clients with an integrated suite of services, including facilities, transaction and project management; property management; investment management; appraisal and valuation; property leasing; strategic consulting; property sales; mortgage services and development services. Please visit our website at </w:t>
      </w:r>
      <w:hyperlink r:id="rId13" w:history="1">
        <w:r w:rsidRPr="00716B53">
          <w:rPr>
            <w:rStyle w:val="Hypertextovodkaz"/>
          </w:rPr>
          <w:t>www.cbre.com</w:t>
        </w:r>
      </w:hyperlink>
      <w:r>
        <w:rPr>
          <w:color w:val="808080" w:themeColor="background1" w:themeShade="80"/>
        </w:rPr>
        <w:t>.</w:t>
      </w:r>
    </w:p>
    <w:p w14:paraId="071992A7" w14:textId="77777777" w:rsidR="0076121E" w:rsidRPr="0076121E" w:rsidRDefault="0076121E" w:rsidP="0076121E">
      <w:pPr>
        <w:pStyle w:val="BodyCopy"/>
        <w:rPr>
          <w:lang w:val="en-GB"/>
        </w:rPr>
      </w:pPr>
      <w:r w:rsidRPr="0076121E">
        <w:rPr>
          <w:lang w:val="en-GB"/>
        </w:rPr>
        <w:t> </w:t>
      </w:r>
    </w:p>
    <w:p w14:paraId="0EB68F8D" w14:textId="77777777" w:rsidR="00AD56B6" w:rsidRPr="00E02087" w:rsidRDefault="00AD56B6" w:rsidP="00E02087">
      <w:pPr>
        <w:pStyle w:val="BodyCopy"/>
      </w:pPr>
    </w:p>
    <w:p w14:paraId="08084335" w14:textId="20AA8682" w:rsidR="00A90A3A" w:rsidRPr="00B45298" w:rsidRDefault="00A90A3A" w:rsidP="00E2340D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4"/>
      <w:headerReference w:type="first" r:id="rId15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56DEF" w14:textId="77777777" w:rsidR="007844C2" w:rsidRDefault="007844C2" w:rsidP="00C63036">
      <w:r>
        <w:separator/>
      </w:r>
    </w:p>
  </w:endnote>
  <w:endnote w:type="continuationSeparator" w:id="0">
    <w:p w14:paraId="6FFCD740" w14:textId="77777777" w:rsidR="007844C2" w:rsidRDefault="007844C2" w:rsidP="00C63036">
      <w:r>
        <w:continuationSeparator/>
      </w:r>
    </w:p>
  </w:endnote>
  <w:endnote w:type="continuationNotice" w:id="1">
    <w:p w14:paraId="49DDED46" w14:textId="77777777" w:rsidR="007844C2" w:rsidRDefault="00784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utura Lt BT Ligh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B20D" w14:textId="77777777" w:rsidR="007844C2" w:rsidRDefault="007844C2" w:rsidP="00C63036">
      <w:r>
        <w:separator/>
      </w:r>
    </w:p>
  </w:footnote>
  <w:footnote w:type="continuationSeparator" w:id="0">
    <w:p w14:paraId="279AFD68" w14:textId="77777777" w:rsidR="007844C2" w:rsidRDefault="007844C2" w:rsidP="00C63036">
      <w:r>
        <w:continuationSeparator/>
      </w:r>
    </w:p>
  </w:footnote>
  <w:footnote w:type="continuationNotice" w:id="1">
    <w:p w14:paraId="739AF262" w14:textId="77777777" w:rsidR="007844C2" w:rsidRDefault="007844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EFA8" w14:textId="77777777" w:rsidR="00E30CD4" w:rsidRDefault="00E30CD4" w:rsidP="0094537E">
    <w:pPr>
      <w:pStyle w:val="Zhlav"/>
      <w:jc w:val="right"/>
    </w:pPr>
    <w:r w:rsidRPr="0094537E">
      <w:rPr>
        <w:rFonts w:ascii="Calibre" w:hAnsi="Calibre"/>
        <w:color w:val="003D30" w:themeColor="accent6"/>
        <w:sz w:val="16"/>
      </w:rPr>
      <w:t>CBRE Press Release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76E" w14:textId="77777777" w:rsidR="00E30CD4" w:rsidRDefault="00E30CD4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D6E82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58242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77777777" w:rsidR="00E30CD4" w:rsidRPr="00F413B0" w:rsidRDefault="00E30CD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77777777" w:rsidR="00E30CD4" w:rsidRPr="00F413B0" w:rsidRDefault="00E30CD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3B8F"/>
    <w:rsid w:val="000060F0"/>
    <w:rsid w:val="000065CB"/>
    <w:rsid w:val="0002350E"/>
    <w:rsid w:val="00027A58"/>
    <w:rsid w:val="00031661"/>
    <w:rsid w:val="00031C0A"/>
    <w:rsid w:val="00043F8E"/>
    <w:rsid w:val="000572C5"/>
    <w:rsid w:val="00061034"/>
    <w:rsid w:val="00064B63"/>
    <w:rsid w:val="00065F36"/>
    <w:rsid w:val="00073689"/>
    <w:rsid w:val="00085778"/>
    <w:rsid w:val="00086000"/>
    <w:rsid w:val="00087C05"/>
    <w:rsid w:val="000A542D"/>
    <w:rsid w:val="000B6295"/>
    <w:rsid w:val="000B642B"/>
    <w:rsid w:val="000C28F1"/>
    <w:rsid w:val="000C4059"/>
    <w:rsid w:val="000C5ABF"/>
    <w:rsid w:val="000C5BA9"/>
    <w:rsid w:val="000C7040"/>
    <w:rsid w:val="000D153D"/>
    <w:rsid w:val="000E3EC9"/>
    <w:rsid w:val="00107912"/>
    <w:rsid w:val="00111DB2"/>
    <w:rsid w:val="001236E0"/>
    <w:rsid w:val="001300F4"/>
    <w:rsid w:val="0013470D"/>
    <w:rsid w:val="00136C3A"/>
    <w:rsid w:val="0013743F"/>
    <w:rsid w:val="00140E0A"/>
    <w:rsid w:val="00142145"/>
    <w:rsid w:val="001458C7"/>
    <w:rsid w:val="00151AD8"/>
    <w:rsid w:val="00157032"/>
    <w:rsid w:val="00162C07"/>
    <w:rsid w:val="001760A1"/>
    <w:rsid w:val="0018323D"/>
    <w:rsid w:val="001A2316"/>
    <w:rsid w:val="001A280B"/>
    <w:rsid w:val="001A2B9C"/>
    <w:rsid w:val="001C3542"/>
    <w:rsid w:val="001C6128"/>
    <w:rsid w:val="001C651A"/>
    <w:rsid w:val="001C6FD8"/>
    <w:rsid w:val="001C7A8E"/>
    <w:rsid w:val="001D2195"/>
    <w:rsid w:val="001D48C8"/>
    <w:rsid w:val="001E0021"/>
    <w:rsid w:val="00200B34"/>
    <w:rsid w:val="00200F6E"/>
    <w:rsid w:val="00212B42"/>
    <w:rsid w:val="00214804"/>
    <w:rsid w:val="00223B25"/>
    <w:rsid w:val="0024756C"/>
    <w:rsid w:val="00257B6D"/>
    <w:rsid w:val="00262BA0"/>
    <w:rsid w:val="00277BA5"/>
    <w:rsid w:val="00280100"/>
    <w:rsid w:val="00284BBD"/>
    <w:rsid w:val="002A0509"/>
    <w:rsid w:val="002A38EF"/>
    <w:rsid w:val="002B1B1A"/>
    <w:rsid w:val="002D7B12"/>
    <w:rsid w:val="002E2B8B"/>
    <w:rsid w:val="002E3D27"/>
    <w:rsid w:val="002E7282"/>
    <w:rsid w:val="002F4296"/>
    <w:rsid w:val="00301EFD"/>
    <w:rsid w:val="00303571"/>
    <w:rsid w:val="003072EA"/>
    <w:rsid w:val="00322110"/>
    <w:rsid w:val="00327060"/>
    <w:rsid w:val="003323F8"/>
    <w:rsid w:val="00332C41"/>
    <w:rsid w:val="00337D7D"/>
    <w:rsid w:val="00340476"/>
    <w:rsid w:val="003476EE"/>
    <w:rsid w:val="00352C6C"/>
    <w:rsid w:val="00354144"/>
    <w:rsid w:val="00355265"/>
    <w:rsid w:val="00355B8E"/>
    <w:rsid w:val="00364ACC"/>
    <w:rsid w:val="0036733B"/>
    <w:rsid w:val="0037702B"/>
    <w:rsid w:val="003A434C"/>
    <w:rsid w:val="003A53B5"/>
    <w:rsid w:val="003A541C"/>
    <w:rsid w:val="003A6346"/>
    <w:rsid w:val="003B046D"/>
    <w:rsid w:val="003B0F5E"/>
    <w:rsid w:val="003B44F1"/>
    <w:rsid w:val="003B59C4"/>
    <w:rsid w:val="003C4CC5"/>
    <w:rsid w:val="003D0738"/>
    <w:rsid w:val="003D2B00"/>
    <w:rsid w:val="003D2BF9"/>
    <w:rsid w:val="003D7E8F"/>
    <w:rsid w:val="003E5D59"/>
    <w:rsid w:val="003F42F0"/>
    <w:rsid w:val="004023EE"/>
    <w:rsid w:val="0041668A"/>
    <w:rsid w:val="00423451"/>
    <w:rsid w:val="00435D10"/>
    <w:rsid w:val="004527F6"/>
    <w:rsid w:val="004567DF"/>
    <w:rsid w:val="004576AF"/>
    <w:rsid w:val="00461BC8"/>
    <w:rsid w:val="0046575D"/>
    <w:rsid w:val="00465B78"/>
    <w:rsid w:val="00483BED"/>
    <w:rsid w:val="00487F8C"/>
    <w:rsid w:val="004960B4"/>
    <w:rsid w:val="004A272D"/>
    <w:rsid w:val="004A627A"/>
    <w:rsid w:val="004B739F"/>
    <w:rsid w:val="004C11F4"/>
    <w:rsid w:val="004C4C0A"/>
    <w:rsid w:val="004C749C"/>
    <w:rsid w:val="004D2AC7"/>
    <w:rsid w:val="004D3ED2"/>
    <w:rsid w:val="004E0EF8"/>
    <w:rsid w:val="004E6BBF"/>
    <w:rsid w:val="004F46E2"/>
    <w:rsid w:val="005018FC"/>
    <w:rsid w:val="00507940"/>
    <w:rsid w:val="0051203F"/>
    <w:rsid w:val="00515372"/>
    <w:rsid w:val="00533E87"/>
    <w:rsid w:val="0054460C"/>
    <w:rsid w:val="0054772F"/>
    <w:rsid w:val="00552462"/>
    <w:rsid w:val="00554FEE"/>
    <w:rsid w:val="00555213"/>
    <w:rsid w:val="005623F8"/>
    <w:rsid w:val="0056286A"/>
    <w:rsid w:val="00566701"/>
    <w:rsid w:val="0057299D"/>
    <w:rsid w:val="00572B69"/>
    <w:rsid w:val="00582679"/>
    <w:rsid w:val="00585DCD"/>
    <w:rsid w:val="005903E1"/>
    <w:rsid w:val="0059494B"/>
    <w:rsid w:val="005A237A"/>
    <w:rsid w:val="005A4E5C"/>
    <w:rsid w:val="005B65B6"/>
    <w:rsid w:val="005B6DBF"/>
    <w:rsid w:val="005C1891"/>
    <w:rsid w:val="005C2B9C"/>
    <w:rsid w:val="005C7DAF"/>
    <w:rsid w:val="005D0390"/>
    <w:rsid w:val="005D209F"/>
    <w:rsid w:val="005D6347"/>
    <w:rsid w:val="005E0702"/>
    <w:rsid w:val="005E3242"/>
    <w:rsid w:val="005E3C08"/>
    <w:rsid w:val="005F7F99"/>
    <w:rsid w:val="00601627"/>
    <w:rsid w:val="0061195C"/>
    <w:rsid w:val="006160A8"/>
    <w:rsid w:val="00620AAF"/>
    <w:rsid w:val="006231BB"/>
    <w:rsid w:val="00624FD4"/>
    <w:rsid w:val="006268F4"/>
    <w:rsid w:val="0063267C"/>
    <w:rsid w:val="006351A8"/>
    <w:rsid w:val="006451BD"/>
    <w:rsid w:val="0064541B"/>
    <w:rsid w:val="0064700E"/>
    <w:rsid w:val="00651E1D"/>
    <w:rsid w:val="0065401E"/>
    <w:rsid w:val="006570BD"/>
    <w:rsid w:val="00670A4C"/>
    <w:rsid w:val="006738F2"/>
    <w:rsid w:val="00677270"/>
    <w:rsid w:val="00680869"/>
    <w:rsid w:val="00685808"/>
    <w:rsid w:val="00690DBA"/>
    <w:rsid w:val="00694A49"/>
    <w:rsid w:val="006A0EEA"/>
    <w:rsid w:val="006A1F38"/>
    <w:rsid w:val="006A5A8D"/>
    <w:rsid w:val="006A6326"/>
    <w:rsid w:val="006B5B87"/>
    <w:rsid w:val="006C535E"/>
    <w:rsid w:val="006E7ABB"/>
    <w:rsid w:val="00707376"/>
    <w:rsid w:val="0071780E"/>
    <w:rsid w:val="00722C2A"/>
    <w:rsid w:val="0073408B"/>
    <w:rsid w:val="00736F66"/>
    <w:rsid w:val="00737D98"/>
    <w:rsid w:val="00742D8F"/>
    <w:rsid w:val="00757A9D"/>
    <w:rsid w:val="0076121E"/>
    <w:rsid w:val="00767C00"/>
    <w:rsid w:val="007844C2"/>
    <w:rsid w:val="007960B8"/>
    <w:rsid w:val="007A0E16"/>
    <w:rsid w:val="007A29ED"/>
    <w:rsid w:val="007A7D89"/>
    <w:rsid w:val="007B40F7"/>
    <w:rsid w:val="007B7C71"/>
    <w:rsid w:val="007C27D0"/>
    <w:rsid w:val="007C42AD"/>
    <w:rsid w:val="007C67F2"/>
    <w:rsid w:val="007D229F"/>
    <w:rsid w:val="007D51A8"/>
    <w:rsid w:val="007E236C"/>
    <w:rsid w:val="007E5470"/>
    <w:rsid w:val="007F1287"/>
    <w:rsid w:val="007F4A3F"/>
    <w:rsid w:val="007F53DE"/>
    <w:rsid w:val="00804E5B"/>
    <w:rsid w:val="00813781"/>
    <w:rsid w:val="00823FFA"/>
    <w:rsid w:val="0083142D"/>
    <w:rsid w:val="00831576"/>
    <w:rsid w:val="008455AA"/>
    <w:rsid w:val="0084782C"/>
    <w:rsid w:val="00850203"/>
    <w:rsid w:val="00856AB9"/>
    <w:rsid w:val="00870EFE"/>
    <w:rsid w:val="008719C1"/>
    <w:rsid w:val="00871C73"/>
    <w:rsid w:val="00871EB6"/>
    <w:rsid w:val="00883166"/>
    <w:rsid w:val="00886CC6"/>
    <w:rsid w:val="00891B0B"/>
    <w:rsid w:val="0089296D"/>
    <w:rsid w:val="008A163D"/>
    <w:rsid w:val="008A1F72"/>
    <w:rsid w:val="008A693E"/>
    <w:rsid w:val="008B6AE1"/>
    <w:rsid w:val="008E30E8"/>
    <w:rsid w:val="008F05F9"/>
    <w:rsid w:val="008F1D24"/>
    <w:rsid w:val="008F2B73"/>
    <w:rsid w:val="008F4915"/>
    <w:rsid w:val="008F4E12"/>
    <w:rsid w:val="008F772B"/>
    <w:rsid w:val="00904FEF"/>
    <w:rsid w:val="00907900"/>
    <w:rsid w:val="00920F84"/>
    <w:rsid w:val="00922D72"/>
    <w:rsid w:val="00927092"/>
    <w:rsid w:val="00933F9A"/>
    <w:rsid w:val="00940CE3"/>
    <w:rsid w:val="0094537E"/>
    <w:rsid w:val="00946CF8"/>
    <w:rsid w:val="0094783B"/>
    <w:rsid w:val="0095600E"/>
    <w:rsid w:val="009572CA"/>
    <w:rsid w:val="00960B28"/>
    <w:rsid w:val="00967D12"/>
    <w:rsid w:val="00973776"/>
    <w:rsid w:val="00992DF6"/>
    <w:rsid w:val="009A12B2"/>
    <w:rsid w:val="009A18E3"/>
    <w:rsid w:val="009A2BF6"/>
    <w:rsid w:val="009A3B1E"/>
    <w:rsid w:val="009A66C4"/>
    <w:rsid w:val="009B4F34"/>
    <w:rsid w:val="009C08D6"/>
    <w:rsid w:val="009D0434"/>
    <w:rsid w:val="009D1231"/>
    <w:rsid w:val="009D1324"/>
    <w:rsid w:val="009D73A6"/>
    <w:rsid w:val="009E7677"/>
    <w:rsid w:val="009F514B"/>
    <w:rsid w:val="009F661D"/>
    <w:rsid w:val="00A04B2B"/>
    <w:rsid w:val="00A1544D"/>
    <w:rsid w:val="00A15C2E"/>
    <w:rsid w:val="00A212D2"/>
    <w:rsid w:val="00A26BF0"/>
    <w:rsid w:val="00A30F36"/>
    <w:rsid w:val="00A57E49"/>
    <w:rsid w:val="00A703C7"/>
    <w:rsid w:val="00A705E6"/>
    <w:rsid w:val="00A71B8E"/>
    <w:rsid w:val="00A745D6"/>
    <w:rsid w:val="00A7587B"/>
    <w:rsid w:val="00A85621"/>
    <w:rsid w:val="00A90A3A"/>
    <w:rsid w:val="00AA247D"/>
    <w:rsid w:val="00AA4E69"/>
    <w:rsid w:val="00AA7D23"/>
    <w:rsid w:val="00AB0F7F"/>
    <w:rsid w:val="00AB6D32"/>
    <w:rsid w:val="00AC3224"/>
    <w:rsid w:val="00AD56B6"/>
    <w:rsid w:val="00AE0EF6"/>
    <w:rsid w:val="00AE2449"/>
    <w:rsid w:val="00AE4112"/>
    <w:rsid w:val="00AE6554"/>
    <w:rsid w:val="00AF2412"/>
    <w:rsid w:val="00AF2EBE"/>
    <w:rsid w:val="00AF538F"/>
    <w:rsid w:val="00AF6356"/>
    <w:rsid w:val="00B0183F"/>
    <w:rsid w:val="00B14D94"/>
    <w:rsid w:val="00B15901"/>
    <w:rsid w:val="00B3633D"/>
    <w:rsid w:val="00B44022"/>
    <w:rsid w:val="00B45298"/>
    <w:rsid w:val="00B5069F"/>
    <w:rsid w:val="00B52BF3"/>
    <w:rsid w:val="00B61266"/>
    <w:rsid w:val="00B627CE"/>
    <w:rsid w:val="00B6628C"/>
    <w:rsid w:val="00B721CD"/>
    <w:rsid w:val="00B731D4"/>
    <w:rsid w:val="00B736E0"/>
    <w:rsid w:val="00B75B00"/>
    <w:rsid w:val="00B76BA6"/>
    <w:rsid w:val="00B80B6F"/>
    <w:rsid w:val="00B90463"/>
    <w:rsid w:val="00BB0E9C"/>
    <w:rsid w:val="00BB556C"/>
    <w:rsid w:val="00BB754F"/>
    <w:rsid w:val="00BC0CA9"/>
    <w:rsid w:val="00BC16A9"/>
    <w:rsid w:val="00BC4CF9"/>
    <w:rsid w:val="00BC727C"/>
    <w:rsid w:val="00BC730A"/>
    <w:rsid w:val="00BD1A58"/>
    <w:rsid w:val="00BE7B6E"/>
    <w:rsid w:val="00BF7463"/>
    <w:rsid w:val="00C15915"/>
    <w:rsid w:val="00C31B08"/>
    <w:rsid w:val="00C36015"/>
    <w:rsid w:val="00C51F31"/>
    <w:rsid w:val="00C56AC3"/>
    <w:rsid w:val="00C57BB4"/>
    <w:rsid w:val="00C63036"/>
    <w:rsid w:val="00C65190"/>
    <w:rsid w:val="00C8593C"/>
    <w:rsid w:val="00CB460E"/>
    <w:rsid w:val="00CF3E51"/>
    <w:rsid w:val="00D01B9D"/>
    <w:rsid w:val="00D10AF9"/>
    <w:rsid w:val="00D15FA3"/>
    <w:rsid w:val="00D17713"/>
    <w:rsid w:val="00D21093"/>
    <w:rsid w:val="00D3178C"/>
    <w:rsid w:val="00D449F5"/>
    <w:rsid w:val="00D5426E"/>
    <w:rsid w:val="00D54CE5"/>
    <w:rsid w:val="00D57A29"/>
    <w:rsid w:val="00D6004C"/>
    <w:rsid w:val="00D67169"/>
    <w:rsid w:val="00D76255"/>
    <w:rsid w:val="00D96345"/>
    <w:rsid w:val="00DB1F6D"/>
    <w:rsid w:val="00DB3964"/>
    <w:rsid w:val="00DB6576"/>
    <w:rsid w:val="00DC0226"/>
    <w:rsid w:val="00DD13D1"/>
    <w:rsid w:val="00DD5DA3"/>
    <w:rsid w:val="00DF6415"/>
    <w:rsid w:val="00E01C37"/>
    <w:rsid w:val="00E02087"/>
    <w:rsid w:val="00E0582A"/>
    <w:rsid w:val="00E11D59"/>
    <w:rsid w:val="00E14E0D"/>
    <w:rsid w:val="00E2340D"/>
    <w:rsid w:val="00E30CD4"/>
    <w:rsid w:val="00E4060F"/>
    <w:rsid w:val="00E43D88"/>
    <w:rsid w:val="00E470D1"/>
    <w:rsid w:val="00E5352D"/>
    <w:rsid w:val="00E53CA1"/>
    <w:rsid w:val="00E62B6A"/>
    <w:rsid w:val="00E633C0"/>
    <w:rsid w:val="00E65F35"/>
    <w:rsid w:val="00E7312A"/>
    <w:rsid w:val="00E76244"/>
    <w:rsid w:val="00E77793"/>
    <w:rsid w:val="00E80A8C"/>
    <w:rsid w:val="00E8799D"/>
    <w:rsid w:val="00EA2A8D"/>
    <w:rsid w:val="00EA427F"/>
    <w:rsid w:val="00EB03A9"/>
    <w:rsid w:val="00EB3A75"/>
    <w:rsid w:val="00EB4B64"/>
    <w:rsid w:val="00EB5D4C"/>
    <w:rsid w:val="00EC7CBA"/>
    <w:rsid w:val="00ED1394"/>
    <w:rsid w:val="00ED29E8"/>
    <w:rsid w:val="00EE0991"/>
    <w:rsid w:val="00EE3A21"/>
    <w:rsid w:val="00EE3BB0"/>
    <w:rsid w:val="00EF282A"/>
    <w:rsid w:val="00EF3053"/>
    <w:rsid w:val="00F0143E"/>
    <w:rsid w:val="00F042D0"/>
    <w:rsid w:val="00F05D86"/>
    <w:rsid w:val="00F05F99"/>
    <w:rsid w:val="00F07545"/>
    <w:rsid w:val="00F222C1"/>
    <w:rsid w:val="00F27A6E"/>
    <w:rsid w:val="00F31F9E"/>
    <w:rsid w:val="00F350C1"/>
    <w:rsid w:val="00F40950"/>
    <w:rsid w:val="00F41F5C"/>
    <w:rsid w:val="00F4380F"/>
    <w:rsid w:val="00F4774E"/>
    <w:rsid w:val="00F514ED"/>
    <w:rsid w:val="00F51DB7"/>
    <w:rsid w:val="00F52470"/>
    <w:rsid w:val="00F52687"/>
    <w:rsid w:val="00F55E50"/>
    <w:rsid w:val="00F60134"/>
    <w:rsid w:val="00F76455"/>
    <w:rsid w:val="00F81642"/>
    <w:rsid w:val="00F8259F"/>
    <w:rsid w:val="00F91534"/>
    <w:rsid w:val="00FB548F"/>
    <w:rsid w:val="00FC1B50"/>
    <w:rsid w:val="00FC6E1E"/>
    <w:rsid w:val="00FD0DC1"/>
    <w:rsid w:val="00FD3304"/>
    <w:rsid w:val="00FD4BF3"/>
    <w:rsid w:val="00FE0AFA"/>
    <w:rsid w:val="00FE224E"/>
    <w:rsid w:val="00FF3BA3"/>
    <w:rsid w:val="07C1A890"/>
    <w:rsid w:val="0B072D0F"/>
    <w:rsid w:val="1038B00E"/>
    <w:rsid w:val="1DE15B39"/>
    <w:rsid w:val="2AF09EA5"/>
    <w:rsid w:val="35B65646"/>
    <w:rsid w:val="40D1A937"/>
    <w:rsid w:val="49974884"/>
    <w:rsid w:val="4F2CCC9F"/>
    <w:rsid w:val="504604A6"/>
    <w:rsid w:val="646BA1CD"/>
    <w:rsid w:val="667D6139"/>
    <w:rsid w:val="6E07F254"/>
    <w:rsid w:val="706A40C7"/>
    <w:rsid w:val="75051F60"/>
    <w:rsid w:val="764EF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EAF1679E-0519-4F61-AE1B-ED56047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3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3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3E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E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ln"/>
    <w:rsid w:val="005C7DAF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Standardnpsmoodstavce"/>
    <w:rsid w:val="005C7DAF"/>
  </w:style>
  <w:style w:type="character" w:customStyle="1" w:styleId="eop">
    <w:name w:val="eop"/>
    <w:basedOn w:val="Standardnpsmoodstavce"/>
    <w:rsid w:val="005C7DAF"/>
  </w:style>
  <w:style w:type="paragraph" w:styleId="Revize">
    <w:name w:val="Revision"/>
    <w:hidden/>
    <w:uiPriority w:val="99"/>
    <w:semiHidden/>
    <w:rsid w:val="00EB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5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7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5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7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53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0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5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3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2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2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0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" TargetMode="External"/><Relationship Id="rId13" Type="http://schemas.openxmlformats.org/officeDocument/2006/relationships/hyperlink" Target="http://www.cb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mila.cadkova@crestcom.cz" TargetMode="External"/><Relationship Id="rId12" Type="http://schemas.openxmlformats.org/officeDocument/2006/relationships/hyperlink" Target="https://www.instagram.com/cbre_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pages/CBRE-News/626929170775263?ref=ts&amp;fref=t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vana.prochazkova@cbre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6</TotalTime>
  <Pages>1</Pages>
  <Words>523</Words>
  <Characters>2984</Characters>
  <Application>Microsoft Office Word</Application>
  <DocSecurity>0</DocSecurity>
  <Lines>24</Lines>
  <Paragraphs>6</Paragraphs>
  <ScaleCrop>false</ScaleCrop>
  <Company>CBRE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Mirman, Corey @ Corporate Communications</dc:creator>
  <cp:keywords/>
  <cp:lastModifiedBy>Denisa Kolaříková</cp:lastModifiedBy>
  <cp:revision>3</cp:revision>
  <cp:lastPrinted>2023-12-12T18:35:00Z</cp:lastPrinted>
  <dcterms:created xsi:type="dcterms:W3CDTF">2025-02-19T18:38:00Z</dcterms:created>
  <dcterms:modified xsi:type="dcterms:W3CDTF">2025-02-24T10:56:00Z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2e07bf9cd05b419f08bbe6a0cfc25b2567a991c2dcc512bf619ef5a07575a297</vt:lpwstr>
  </property>
</Properties>
</file>